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1C" w:rsidRPr="0065591C" w:rsidRDefault="0065591C" w:rsidP="0065591C">
      <w:pPr>
        <w:spacing w:before="0" w:beforeAutospacing="0" w:after="0" w:afterAutospacing="0"/>
        <w:ind w:left="6096" w:firstLine="1368"/>
        <w:jc w:val="both"/>
        <w:rPr>
          <w:rFonts w:ascii="Times New Roman" w:hAnsi="Times New Roman" w:cs="Times New Roman"/>
          <w:sz w:val="44"/>
          <w:szCs w:val="44"/>
        </w:rPr>
      </w:pPr>
      <w:bookmarkStart w:id="0" w:name="_Toc431817119"/>
      <w:r w:rsidRPr="0065591C">
        <w:rPr>
          <w:noProof/>
          <w:lang w:eastAsia="ru-RU"/>
        </w:rPr>
        <w:drawing>
          <wp:inline distT="0" distB="0" distL="0" distR="0" wp14:anchorId="11B26CFB" wp14:editId="050BA05F">
            <wp:extent cx="1034415" cy="1186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59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65591C">
        <w:rPr>
          <w:rFonts w:ascii="Times New Roman" w:hAnsi="Times New Roman" w:cs="Times New Roman"/>
          <w:sz w:val="44"/>
          <w:szCs w:val="44"/>
        </w:rPr>
        <w:t xml:space="preserve">                          </w:t>
      </w:r>
      <w:r w:rsidRPr="0065591C">
        <w:rPr>
          <w:rFonts w:ascii="Times New Roman" w:hAnsi="Times New Roman" w:cs="Times New Roman"/>
          <w:b/>
          <w:color w:val="009999"/>
          <w:sz w:val="40"/>
          <w:szCs w:val="40"/>
        </w:rPr>
        <w:t>ЮНИОР</w:t>
      </w:r>
      <w:r w:rsidRPr="0065591C">
        <w:rPr>
          <w:rFonts w:ascii="Times New Roman" w:hAnsi="Times New Roman" w:cs="Times New Roman"/>
          <w:b/>
          <w:sz w:val="40"/>
          <w:szCs w:val="40"/>
        </w:rPr>
        <w:t>ПРОФИ</w:t>
      </w: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8779"/>
          <w:sz w:val="40"/>
          <w:szCs w:val="40"/>
        </w:rPr>
      </w:pPr>
    </w:p>
    <w:p w:rsidR="0065591C" w:rsidRPr="0065591C" w:rsidRDefault="0065591C" w:rsidP="006559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8779"/>
          <w:sz w:val="40"/>
          <w:szCs w:val="40"/>
        </w:rPr>
      </w:pPr>
      <w:r w:rsidRPr="0065591C">
        <w:rPr>
          <w:rFonts w:ascii="Times New Roman" w:hAnsi="Times New Roman" w:cs="Times New Roman"/>
          <w:b/>
          <w:bCs/>
          <w:color w:val="008779"/>
          <w:sz w:val="40"/>
          <w:szCs w:val="40"/>
        </w:rPr>
        <w:t>КОНКУРСНОЕ ЗАДАНИЕ</w:t>
      </w:r>
    </w:p>
    <w:p w:rsidR="0065591C" w:rsidRPr="0065591C" w:rsidRDefault="0065591C" w:rsidP="0065591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8779"/>
          <w:sz w:val="40"/>
          <w:szCs w:val="40"/>
        </w:rPr>
      </w:pPr>
    </w:p>
    <w:p w:rsidR="0065591C" w:rsidRPr="0065591C" w:rsidRDefault="0065591C" w:rsidP="0065591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65591C">
        <w:rPr>
          <w:b/>
          <w:bCs/>
          <w:color w:val="008779"/>
          <w:sz w:val="40"/>
          <w:szCs w:val="40"/>
        </w:rPr>
        <w:br/>
      </w:r>
      <w:r w:rsidRPr="0065591C">
        <w:rPr>
          <w:rFonts w:ascii="Times New Roman" w:hAnsi="Times New Roman" w:cs="Times New Roman"/>
          <w:color w:val="000000"/>
          <w:sz w:val="40"/>
          <w:szCs w:val="40"/>
        </w:rPr>
        <w:t>компетенция</w:t>
      </w:r>
      <w:r>
        <w:rPr>
          <w:rFonts w:ascii="Times New Roman" w:hAnsi="Times New Roman" w:cs="Times New Roman"/>
          <w:color w:val="000000"/>
          <w:sz w:val="40"/>
          <w:szCs w:val="40"/>
        </w:rPr>
        <w:br/>
      </w:r>
      <w:r w:rsidRPr="0065591C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Pr="0065591C">
        <w:rPr>
          <w:rFonts w:ascii="Times New Roman" w:hAnsi="Times New Roman" w:cs="Times New Roman"/>
          <w:color w:val="000000"/>
          <w:sz w:val="48"/>
          <w:szCs w:val="48"/>
        </w:rPr>
        <w:t>«</w:t>
      </w:r>
      <w:r w:rsidRPr="0065591C">
        <w:rPr>
          <w:rFonts w:ascii="Times New Roman" w:hAnsi="Times New Roman" w:cs="Times New Roman"/>
          <w:color w:val="000000"/>
          <w:sz w:val="48"/>
          <w:szCs w:val="48"/>
        </w:rPr>
        <w:t>Лабораторный химический анализ</w:t>
      </w:r>
      <w:r w:rsidRPr="0065591C">
        <w:rPr>
          <w:rFonts w:ascii="Times New Roman" w:hAnsi="Times New Roman" w:cs="Times New Roman"/>
          <w:color w:val="000000"/>
          <w:sz w:val="48"/>
          <w:szCs w:val="48"/>
        </w:rPr>
        <w:t>»</w:t>
      </w:r>
    </w:p>
    <w:p w:rsidR="0065591C" w:rsidRPr="0065591C" w:rsidRDefault="0065591C" w:rsidP="006559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65591C">
        <w:rPr>
          <w:color w:val="000000"/>
          <w:sz w:val="40"/>
          <w:szCs w:val="40"/>
        </w:rPr>
        <w:br/>
      </w:r>
      <w:r w:rsidRPr="0065591C">
        <w:rPr>
          <w:rFonts w:ascii="Times New Roman" w:hAnsi="Times New Roman" w:cs="Times New Roman"/>
          <w:color w:val="000000"/>
          <w:sz w:val="40"/>
          <w:szCs w:val="40"/>
        </w:rPr>
        <w:t>категория участников 14+</w:t>
      </w: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5591C" w:rsidRPr="0065591C" w:rsidRDefault="0065591C" w:rsidP="006559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5591C">
        <w:rPr>
          <w:rFonts w:ascii="Times New Roman" w:hAnsi="Times New Roman" w:cs="Times New Roman"/>
          <w:sz w:val="28"/>
          <w:szCs w:val="28"/>
        </w:rPr>
        <w:t>Лесосибирск</w:t>
      </w:r>
      <w:proofErr w:type="spellEnd"/>
      <w:r w:rsidRPr="0065591C">
        <w:rPr>
          <w:rFonts w:ascii="Times New Roman" w:hAnsi="Times New Roman" w:cs="Times New Roman"/>
          <w:sz w:val="28"/>
          <w:szCs w:val="28"/>
        </w:rPr>
        <w:t xml:space="preserve"> – 2020</w:t>
      </w:r>
    </w:p>
    <w:p w:rsidR="0065591C" w:rsidRPr="0065591C" w:rsidRDefault="0065591C" w:rsidP="0065591C">
      <w:pPr>
        <w:spacing w:before="0" w:beforeAutospacing="0" w:after="200" w:afterAutospacing="0" w:line="276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65591C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lastRenderedPageBreak/>
        <w:t>Пояснительная записка</w:t>
      </w:r>
    </w:p>
    <w:p w:rsidR="0065591C" w:rsidRPr="0065591C" w:rsidRDefault="0065591C" w:rsidP="0065591C">
      <w:pPr>
        <w:widowControl w:val="0"/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Содержанием конкурсного задания являются реализация работ по компетенции «Лаборант химического анализа». Участники соревнований получают задачи и необходимые реактивы, а также инструкцию по выполнению задания. Конкурсное задание имеет несколько модулей. Выполнение заданий в модуле выполняется произвольно. Оценка выполнения модулей осуществляется по итогам выполнения задания в целом.</w:t>
      </w:r>
    </w:p>
    <w:p w:rsidR="0065591C" w:rsidRPr="0065591C" w:rsidRDefault="0065591C" w:rsidP="0065591C">
      <w:pPr>
        <w:widowControl w:val="0"/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Конку</w:t>
      </w:r>
      <w:proofErr w:type="gramStart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рс вкл</w:t>
      </w:r>
      <w:proofErr w:type="gramEnd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ючает в себя выполнение работ по приготовлению растворов, стандартизации, и установлению содержания веществ и ионов в задачах, калибровке мерной посуды, качественного определения индивидуального вещества, составления протокола испытаний по результатам анализов.</w:t>
      </w:r>
    </w:p>
    <w:p w:rsidR="0065591C" w:rsidRPr="0065591C" w:rsidRDefault="0065591C" w:rsidP="0065591C">
      <w:pPr>
        <w:widowControl w:val="0"/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65591C" w:rsidRPr="0065591C" w:rsidRDefault="0065591C" w:rsidP="0065591C">
      <w:pPr>
        <w:widowControl w:val="0"/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Время и детали конкурсного задания в зависимости от конкурсных условий могут быть изменены членами жюри.</w:t>
      </w:r>
    </w:p>
    <w:p w:rsidR="0065591C" w:rsidRPr="0065591C" w:rsidRDefault="0065591C" w:rsidP="0065591C">
      <w:pPr>
        <w:widowControl w:val="0"/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Конкурсное задание должно выполняться по модулям. </w:t>
      </w:r>
    </w:p>
    <w:p w:rsidR="0065591C" w:rsidRPr="0065591C" w:rsidRDefault="0065591C" w:rsidP="0065591C">
      <w:pPr>
        <w:widowControl w:val="0"/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Для выполнения задания необходимо:</w:t>
      </w:r>
    </w:p>
    <w:p w:rsidR="0065591C" w:rsidRPr="0065591C" w:rsidRDefault="0065591C" w:rsidP="0065591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внимательно разобраться в методике и последовательности проведения испытаний, приготовления растворов;</w:t>
      </w:r>
    </w:p>
    <w:p w:rsidR="0065591C" w:rsidRPr="0065591C" w:rsidRDefault="0065591C" w:rsidP="0065591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определить необходимый набор оборудования;</w:t>
      </w:r>
    </w:p>
    <w:p w:rsidR="0065591C" w:rsidRPr="0065591C" w:rsidRDefault="0065591C" w:rsidP="0065591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соблюдать технику безопасности;</w:t>
      </w:r>
    </w:p>
    <w:p w:rsidR="0065591C" w:rsidRPr="0065591C" w:rsidRDefault="0065591C" w:rsidP="0065591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0" w:beforeAutospacing="0" w:after="0" w:afterAutospacing="0" w:line="276" w:lineRule="auto"/>
        <w:ind w:right="18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провести определения содержания веществ и ионов методом титрования.</w:t>
      </w:r>
    </w:p>
    <w:p w:rsidR="0065591C" w:rsidRDefault="0065591C" w:rsidP="0065591C">
      <w:pPr>
        <w:keepNext/>
        <w:keepLines/>
        <w:spacing w:before="40" w:beforeAutospacing="0" w:after="0" w:afterAutospacing="0" w:line="276" w:lineRule="auto"/>
        <w:ind w:firstLine="709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591C" w:rsidRPr="0065591C" w:rsidRDefault="0065591C" w:rsidP="0065591C">
      <w:pPr>
        <w:keepNext/>
        <w:keepLines/>
        <w:spacing w:before="40" w:beforeAutospacing="0" w:after="0" w:afterAutospacing="0" w:line="276" w:lineRule="auto"/>
        <w:ind w:firstLine="709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40"/>
          <w:szCs w:val="40"/>
          <w:lang w:eastAsia="ru-RU"/>
        </w:rPr>
      </w:pPr>
      <w:r w:rsidRPr="0065591C">
        <w:rPr>
          <w:rFonts w:ascii="Times New Roman" w:eastAsiaTheme="majorEastAsia" w:hAnsi="Times New Roman" w:cs="Times New Roman"/>
          <w:b/>
          <w:color w:val="000000" w:themeColor="text1"/>
          <w:sz w:val="40"/>
          <w:szCs w:val="40"/>
          <w:lang w:eastAsia="ru-RU"/>
        </w:rPr>
        <w:t>Конкурсное задание</w:t>
      </w:r>
      <w:bookmarkEnd w:id="0"/>
    </w:p>
    <w:p w:rsidR="0065591C" w:rsidRPr="0065591C" w:rsidRDefault="0065591C" w:rsidP="0065591C">
      <w:pPr>
        <w:keepNext/>
        <w:keepLines/>
        <w:spacing w:before="40" w:beforeAutospacing="0" w:after="0" w:afterAutospacing="0" w:line="276" w:lineRule="auto"/>
        <w:ind w:firstLine="709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36"/>
          <w:szCs w:val="36"/>
          <w:lang w:eastAsia="ru-RU"/>
        </w:rPr>
      </w:pP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</w:pPr>
      <w:r w:rsidRPr="0065591C"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  <w:t>Модуль 1 Приготовление и стандартизация рабочего раствора соляной кислоты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1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«Определение плотности исходного раствора концентрированной соляной кислоты»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Определение плотности и концентрации исходного раствора соляной кислоты при помощи ареометра и определение концентрации исходного раствора по справочным данным.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2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«Приготовление рабочего раствора соляной кислоты»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Приготовление рабочего раствора соляной кислоты разбавлением исходного раствора концентрированной соляной кислоты.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3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«Стандартизация рабочего раствора соляной кислоты»</w:t>
      </w:r>
    </w:p>
    <w:p w:rsid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Выполнение стандартизации рабочего раствора кислоты титрованием раствором буры известной концентрации.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b/>
          <w:i/>
          <w:color w:val="000000" w:themeColor="text1"/>
          <w:sz w:val="40"/>
          <w:szCs w:val="40"/>
          <w:lang w:eastAsia="ru-RU"/>
        </w:rPr>
      </w:pPr>
      <w:r w:rsidRPr="0065591C">
        <w:rPr>
          <w:rFonts w:ascii="Times New Roman" w:eastAsiaTheme="minorEastAsia" w:hAnsi="Times New Roman" w:cs="Times New Roman"/>
          <w:b/>
          <w:i/>
          <w:color w:val="000000" w:themeColor="text1"/>
          <w:sz w:val="40"/>
          <w:szCs w:val="40"/>
          <w:lang w:eastAsia="ru-RU"/>
        </w:rPr>
        <w:t xml:space="preserve">Модуль 2 Определение содержания щелочи в задаче 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1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«Приготовление проб для титрования»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Приготовить пробы для титрования согласно предложенным методикам.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2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«Определение содержания щелочи в задаче методом нейтрализации»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содержания щелочи в задаче методом </w:t>
      </w:r>
      <w:proofErr w:type="gramStart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титрования</w:t>
      </w:r>
      <w:proofErr w:type="gramEnd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стандартизированным раствором соляной кислоты.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</w:pPr>
      <w:r w:rsidRPr="0065591C"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  <w:t xml:space="preserve">Модуль 3 Определение содержания кальция в задаче </w:t>
      </w:r>
      <w:proofErr w:type="spellStart"/>
      <w:r w:rsidRPr="0065591C"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  <w:t>комплексонометрическим</w:t>
      </w:r>
      <w:proofErr w:type="spellEnd"/>
      <w:r w:rsidRPr="0065591C"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  <w:t xml:space="preserve"> методом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1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Пробоподготовка</w:t>
      </w:r>
      <w:proofErr w:type="spellEnd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Toc445655565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Приготовление пробы для титрования согласно предложенным методикам.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2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Комплексонометрическое</w:t>
      </w:r>
      <w:proofErr w:type="spellEnd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титрование»</w:t>
      </w:r>
      <w:bookmarkStart w:id="2" w:name="_Toc445655569"/>
      <w:bookmarkEnd w:id="1"/>
    </w:p>
    <w:bookmarkEnd w:id="2"/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содержания ионом кальция </w:t>
      </w:r>
      <w:proofErr w:type="spellStart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комплексонометрическим</w:t>
      </w:r>
      <w:proofErr w:type="spellEnd"/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методом.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</w:pPr>
      <w:r w:rsidRPr="0065591C"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  <w:t xml:space="preserve">Модуль 4. Калибровка мерной посуды. 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1.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Калибровка мерной пипетки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2.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Калибровка мерной колбы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</w:pPr>
      <w:r w:rsidRPr="0065591C"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  <w:t>Модуль 5. Качественное определение индивидуального вещества.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Задание 1.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Качественное определение раствора соли</w:t>
      </w:r>
    </w:p>
    <w:p w:rsid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</w:pPr>
      <w:r w:rsidRPr="0065591C">
        <w:rPr>
          <w:rFonts w:ascii="Times New Roman" w:eastAsiaTheme="minorEastAsia" w:hAnsi="Times New Roman" w:cs="Times New Roman"/>
          <w:b/>
          <w:i/>
          <w:color w:val="000000" w:themeColor="text1"/>
          <w:sz w:val="36"/>
          <w:szCs w:val="36"/>
          <w:lang w:eastAsia="ru-RU"/>
        </w:rPr>
        <w:lastRenderedPageBreak/>
        <w:t xml:space="preserve">Модуль 6. Оформление протоколов испытаний 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Составление протокола испытаний по результатам титрования согласно указанной форме.</w:t>
      </w:r>
    </w:p>
    <w:p w:rsidR="0065591C" w:rsidRPr="0065591C" w:rsidRDefault="0065591C" w:rsidP="0065591C">
      <w:pPr>
        <w:spacing w:before="0" w:beforeAutospacing="0" w:after="200" w:afterAutospacing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65591C" w:rsidRPr="0065591C" w:rsidRDefault="0065591C" w:rsidP="0065591C">
      <w:pPr>
        <w:keepNext/>
        <w:keepLines/>
        <w:spacing w:before="40" w:beforeAutospacing="0" w:after="0" w:afterAutospacing="0" w:line="276" w:lineRule="auto"/>
        <w:ind w:left="426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44"/>
          <w:szCs w:val="44"/>
          <w:lang w:eastAsia="ru-RU"/>
        </w:rPr>
      </w:pPr>
      <w:bookmarkStart w:id="3" w:name="_Toc431817120"/>
      <w:r w:rsidRPr="0065591C">
        <w:rPr>
          <w:rFonts w:ascii="Times New Roman" w:eastAsiaTheme="majorEastAsia" w:hAnsi="Times New Roman" w:cs="Times New Roman"/>
          <w:b/>
          <w:color w:val="000000" w:themeColor="text1"/>
          <w:sz w:val="44"/>
          <w:szCs w:val="44"/>
          <w:lang w:eastAsia="ru-RU"/>
        </w:rPr>
        <w:t>Оценка</w:t>
      </w:r>
      <w:bookmarkEnd w:id="3"/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left="710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1.</w:t>
      </w:r>
      <w:r w:rsidRPr="0065591C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Критерии оценивания</w:t>
      </w: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2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 оценке качества выполнения работ используется объективная методика оценивания, где можно однозначно ответить выполнен критерий или нет. Оценка выполненного задания происходит в конце каждого конкурсного дня по принципу  в системе оценки чемпионата (CIS). Общее количество критериев оценки на все задания – 100. </w:t>
      </w: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7595"/>
        <w:gridCol w:w="1983"/>
      </w:tblGrid>
      <w:tr w:rsidR="0065591C" w:rsidRPr="0065591C" w:rsidTr="00A175B8">
        <w:trPr>
          <w:trHeight w:val="402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200" w:afterAutospacing="0" w:line="276" w:lineRule="auto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(</w:t>
            </w:r>
            <w:proofErr w:type="gramStart"/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объективный</w:t>
            </w:r>
            <w:proofErr w:type="gramEnd"/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5591C" w:rsidRPr="0065591C" w:rsidTr="00A175B8">
        <w:trPr>
          <w:trHeight w:val="402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Приготовление и стандартизация рабочего раствора соляной кислоты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65591C" w:rsidRPr="0065591C" w:rsidTr="00A175B8">
        <w:trPr>
          <w:trHeight w:val="402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Определение содержания щелочи в задаче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65591C" w:rsidRPr="0065591C" w:rsidTr="00A175B8">
        <w:trPr>
          <w:trHeight w:val="402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 xml:space="preserve">Определение содержания кальция в задаче </w:t>
            </w:r>
            <w:proofErr w:type="spellStart"/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комплексонометрическим</w:t>
            </w:r>
            <w:proofErr w:type="spellEnd"/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 xml:space="preserve"> методом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5591C" w:rsidRPr="0065591C" w:rsidTr="00A175B8">
        <w:trPr>
          <w:trHeight w:val="402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Оформление протоколов испытаний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5591C" w:rsidRPr="0065591C" w:rsidTr="00A175B8">
        <w:trPr>
          <w:trHeight w:val="402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 w:line="276" w:lineRule="auto"/>
              <w:rPr>
                <w:rFonts w:eastAsiaTheme="minorEastAsi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баллов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Оценивание производится путем начисления баллов, за допущенные ошибки баллы не начисляются. Вес каждой ошибки в баллах устанавливается Экспертами до начала соревнований и отражается в таблицах критериев оценки. Начисление субъективных баллов не предусматривается.  В случае равенства баллов по итогам конкурса победа присуждается тому конкурсанту, который затратил меньшее время для выполнения заданий.</w:t>
      </w: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Ниже приведен пример показателей критериев оценивания:  </w:t>
      </w: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Показатели объективных критериев: </w:t>
      </w:r>
    </w:p>
    <w:p w:rsidR="0065591C" w:rsidRPr="0065591C" w:rsidRDefault="0065591C" w:rsidP="006559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проверка отсутствия сколов и трещин на лабораторной посуде; </w:t>
      </w:r>
    </w:p>
    <w:p w:rsidR="0065591C" w:rsidRPr="0065591C" w:rsidRDefault="0065591C" w:rsidP="006559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точность и правильность расчетов; </w:t>
      </w:r>
    </w:p>
    <w:p w:rsidR="0065591C" w:rsidRPr="0065591C" w:rsidRDefault="0065591C" w:rsidP="006559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демонстрация профессиональных навыков; </w:t>
      </w:r>
    </w:p>
    <w:p w:rsidR="0065591C" w:rsidRPr="0065591C" w:rsidRDefault="0065591C" w:rsidP="0065591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выполнение правил техники безопасности.</w:t>
      </w: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Максимальное количество баллов, которое может получить участник – 100. Краткий обзор критериев оценки представлен в таблице ниже. 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Субъективные оценки - 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>Не применимо.</w:t>
      </w:r>
    </w:p>
    <w:tbl>
      <w:tblPr>
        <w:tblW w:w="973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340"/>
        <w:gridCol w:w="4838"/>
        <w:gridCol w:w="1559"/>
      </w:tblGrid>
      <w:tr w:rsidR="0065591C" w:rsidRPr="0065591C" w:rsidTr="0065591C">
        <w:trPr>
          <w:trHeight w:val="779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bookmarkStart w:id="4" w:name="page27"/>
            <w:bookmarkEnd w:id="4"/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Наименование критерия оценки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Наименование аспекта оценки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Максимальный балл</w:t>
            </w:r>
          </w:p>
        </w:tc>
      </w:tr>
      <w:tr w:rsidR="0065591C" w:rsidRPr="0065591C" w:rsidTr="0065591C">
        <w:trPr>
          <w:trHeight w:val="562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Приготовление и стандартизация рабочего раствора соляной кислоты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 плотности исходного раствора концентрированной соляной кислоты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1,3</w:t>
            </w:r>
          </w:p>
        </w:tc>
      </w:tr>
      <w:tr w:rsidR="0065591C" w:rsidRPr="0065591C" w:rsidTr="0065591C">
        <w:trPr>
          <w:trHeight w:val="588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Приготовление рабочего раствора соляной кислоты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65591C" w:rsidRPr="0065591C" w:rsidTr="0065591C">
        <w:trPr>
          <w:trHeight w:val="568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Стандартизация рабочего раствора соляной кислоты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28</w:t>
            </w:r>
          </w:p>
        </w:tc>
      </w:tr>
      <w:tr w:rsidR="0065591C" w:rsidRPr="0065591C" w:rsidTr="0065591C">
        <w:trPr>
          <w:trHeight w:val="568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Техника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4,8</w:t>
            </w:r>
          </w:p>
        </w:tc>
      </w:tr>
      <w:tr w:rsidR="0065591C" w:rsidRPr="0065591C" w:rsidTr="0065591C">
        <w:trPr>
          <w:trHeight w:val="568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Определение содержания щелочи в задаче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Приготовление проб для титрования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4,3</w:t>
            </w:r>
          </w:p>
        </w:tc>
      </w:tr>
      <w:tr w:rsidR="0065591C" w:rsidRPr="0065591C" w:rsidTr="0065591C">
        <w:trPr>
          <w:trHeight w:val="568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 содержания щелочи в задаче методом нейтрализации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16,8</w:t>
            </w:r>
          </w:p>
        </w:tc>
      </w:tr>
      <w:tr w:rsidR="0065591C" w:rsidRPr="0065591C" w:rsidTr="0065591C">
        <w:trPr>
          <w:trHeight w:val="568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Техника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4,8</w:t>
            </w:r>
          </w:p>
        </w:tc>
      </w:tr>
      <w:tr w:rsidR="0065591C" w:rsidRPr="0065591C" w:rsidTr="0065591C">
        <w:trPr>
          <w:trHeight w:val="568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 xml:space="preserve">Определение содержания меди в задаче </w:t>
            </w:r>
            <w:proofErr w:type="spellStart"/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комплексонометрическим</w:t>
            </w:r>
            <w:proofErr w:type="spellEnd"/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 xml:space="preserve"> методом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5591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Пробоподготовка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7,6</w:t>
            </w:r>
          </w:p>
        </w:tc>
      </w:tr>
      <w:tr w:rsidR="0065591C" w:rsidRPr="0065591C" w:rsidTr="0065591C">
        <w:trPr>
          <w:trHeight w:val="568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5591C">
              <w:rPr>
                <w:rFonts w:ascii="Times New Roman" w:eastAsiaTheme="minorEastAsia" w:hAnsi="Times New Roman"/>
                <w:bCs/>
                <w:sz w:val="28"/>
                <w:szCs w:val="28"/>
                <w:lang w:eastAsia="ru-RU"/>
              </w:rPr>
              <w:t>Комплексонометрическое</w:t>
            </w:r>
            <w:proofErr w:type="spellEnd"/>
            <w:r w:rsidRPr="0065591C">
              <w:rPr>
                <w:rFonts w:ascii="Times New Roman" w:eastAsiaTheme="minorEastAsia" w:hAnsi="Times New Roman"/>
                <w:bCs/>
                <w:sz w:val="28"/>
                <w:szCs w:val="28"/>
                <w:lang w:eastAsia="ru-RU"/>
              </w:rPr>
              <w:t xml:space="preserve"> титрование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17,6</w:t>
            </w:r>
          </w:p>
        </w:tc>
      </w:tr>
      <w:tr w:rsidR="0065591C" w:rsidRPr="0065591C" w:rsidTr="0065591C">
        <w:trPr>
          <w:trHeight w:val="432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Техника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4,8</w:t>
            </w:r>
          </w:p>
        </w:tc>
      </w:tr>
      <w:tr w:rsidR="0065591C" w:rsidRPr="0065591C" w:rsidTr="0065591C">
        <w:trPr>
          <w:trHeight w:val="43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Оформление протоколов испытаний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 xml:space="preserve">Оформление протоколов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91C" w:rsidRPr="0065591C" w:rsidRDefault="0065591C" w:rsidP="0065591C">
            <w:pPr>
              <w:spacing w:before="0" w:beforeAutospacing="0" w:after="0" w:afterAutospacing="0"/>
              <w:jc w:val="center"/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65591C">
              <w:rPr>
                <w:rFonts w:ascii="Times New Roman" w:eastAsiaTheme="minorEastAsia" w:hAnsi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</w:tr>
    </w:tbl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2. </w:t>
      </w:r>
      <w:r w:rsidRPr="0065591C">
        <w:rPr>
          <w:rFonts w:ascii="Times New Roman" w:eastAsiaTheme="minorEastAsia" w:hAnsi="Times New Roman"/>
          <w:b/>
          <w:sz w:val="28"/>
          <w:szCs w:val="28"/>
          <w:lang w:eastAsia="ru-RU"/>
        </w:rPr>
        <w:t>Указания по критериям оценивания.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ind w:firstLine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>Участникам предоставляется краткий обзор критериев оценивания. Полностью критерии оценивания предоставляются только Экспертам по причине того, что подробные критерии оценивания содержат решения к заданиям из программы соревнований.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ind w:left="1418" w:hanging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Эксперты совместно принимают решения по выбору конкурсных заданий, критериям начисления баллов и оценки работ и/или утверждают списки материалов.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ind w:left="1418" w:hanging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Определения прогнозируемых результатов модуля и критерии оценки утверждаются Экспе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ртами до начала конкурса.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ind w:left="1418" w:hanging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Эксперты обязаны иметь полное понимание терминологии и желаемых итогов отдельных модулей, они также проходят соответствующий инструктаж.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ind w:left="1418" w:hanging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 начала каждого модуля происходит жеребьевка номеров рабочих мест участников и время н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ачала работы.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ind w:left="1418" w:hanging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Эксперты из жюри и распорядители должны следить за тем, чтобы присутствующие на площадке не переговаривались слишком оживленно в ходе конкурса: это отвлекает участников.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ind w:left="71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>2.1.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Начисление баллов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Эксперты, занятые судейством, в ходе конкурса нах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одятся на площадке проведения конкурса и контролируют ход выполнения работ.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Выполненное участниками задание, должно быть представлено Экспертам.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Эксперт не оценивает работу участника из своей команды.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 каждого задания имеются индивидуальные критерии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, которые Эксперты получают до начала конкурса.   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ind w:left="71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>2.2.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Штрафные баллы 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ind w:left="709" w:firstLine="72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Штрафные баллы могут начисляться в следующих случаях: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советы со стороны. Разговоры участников со зрителями могут быть сочтены консультированием. Любые такие случаи рассматриваются как нару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шение, или даже как повод для дисквалификации. Необходимо свидетельство как минимум двух Экспертов.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Использование материалов, оборудования, инструментов или аксессуаров, не являющихся частью индивидуальных критериев модуля.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Посторонние советы от Экспер</w:t>
      </w: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 xml:space="preserve">тов, или от зрителей. </w:t>
      </w:r>
    </w:p>
    <w:p w:rsidR="0065591C" w:rsidRPr="0065591C" w:rsidRDefault="0065591C" w:rsidP="0065591C">
      <w:pPr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Несоблюдение санитарных норм и техники безопасности.  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ind w:left="106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/>
          <w:sz w:val="28"/>
          <w:szCs w:val="28"/>
          <w:lang w:eastAsia="ru-RU"/>
        </w:rPr>
        <w:t>Два нарушения могут привести к дисквалификации.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 w:line="276" w:lineRule="auto"/>
        <w:ind w:left="1069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591C" w:rsidRPr="0065591C" w:rsidRDefault="0065591C" w:rsidP="0065591C">
      <w:pPr>
        <w:keepNext/>
        <w:keepLines/>
        <w:spacing w:before="40" w:beforeAutospacing="0" w:after="0" w:afterAutospacing="0" w:line="276" w:lineRule="auto"/>
        <w:ind w:firstLine="709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65591C">
        <w:rPr>
          <w:rFonts w:ascii="Times New Roman" w:eastAsiaTheme="majorEastAsia" w:hAnsi="Times New Roman" w:cs="Times New Roman"/>
          <w:b/>
          <w:color w:val="000000" w:themeColor="text1"/>
          <w:sz w:val="32"/>
          <w:szCs w:val="32"/>
          <w:lang w:eastAsia="ru-RU"/>
        </w:rPr>
        <w:t>Отраслевые требования техники безопасности</w:t>
      </w: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Подробнее смотрите в требованиях по охране труда и технике безопасности организации, проводящей соревнования (прилагаются отдельно).  </w:t>
      </w: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Также необходимо соблюдать следующие Правила техники безопасности и санитарные нормы: </w:t>
      </w:r>
    </w:p>
    <w:p w:rsidR="0065591C" w:rsidRPr="0065591C" w:rsidRDefault="0065591C" w:rsidP="006559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электрооборудование следует вынимать из розетки сухими руками (держать за вилку, а не за провод); </w:t>
      </w:r>
    </w:p>
    <w:p w:rsidR="0065591C" w:rsidRPr="0065591C" w:rsidRDefault="0065591C" w:rsidP="006559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случае травмы следует воспользоваться первой помощью. Немедленно поднимите руку, и к вам подойдет Эксперт; </w:t>
      </w:r>
    </w:p>
    <w:p w:rsidR="0065591C" w:rsidRPr="0065591C" w:rsidRDefault="0065591C" w:rsidP="006559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обо всех травмах необходимо сообщать; </w:t>
      </w:r>
    </w:p>
    <w:p w:rsidR="0065591C" w:rsidRPr="0065591C" w:rsidRDefault="0065591C" w:rsidP="0065591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прежде чем покинуть площадку конкурса, следует навести </w:t>
      </w:r>
      <w:r w:rsidRPr="006559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порядок на рабочем месте.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left="357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 оборудование должно соответствовать требованиям охраны труда, действующим на территории страны-устроительницы конкурса. 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left="357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Участники конкурса обязаны следить за тем, чтобы на их рабочем месте отсутствовали препятствия, а на полу не лежали материалы, оборудование или предметы, о которые можно споткнуться, поскользнуться или упасть.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left="357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 в химической лаборатории должен легко и быстро мыться. Необходимо наличие герметичного плинтуса по всему периметру. Материал для пола - </w:t>
      </w:r>
      <w:proofErr w:type="spellStart"/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керамогранит</w:t>
      </w:r>
      <w:proofErr w:type="spellEnd"/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специальный линолеум. 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left="357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Находясь на участке проведения работ, все участники обязаны использовать соответствующие средства индивидуальной защиты. 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left="357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 время осмотра, проверки или работы с проектом участника конкурса, Эксперты обязаны использовать соответствующие средства индивидуальной защиты.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left="357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Эксперты обязаны надевать свою собственную спец. одежду на все время своего нахождения в лаборатории.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left="357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591C" w:rsidRPr="0065591C" w:rsidRDefault="0065591C" w:rsidP="0065591C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65591C" w:rsidRPr="0065591C" w:rsidRDefault="0065591C" w:rsidP="0065591C">
      <w:pPr>
        <w:keepNext/>
        <w:keepLines/>
        <w:spacing w:before="40" w:beforeAutospacing="0" w:after="0" w:afterAutospacing="0" w:line="276" w:lineRule="auto"/>
        <w:ind w:firstLine="709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36"/>
          <w:szCs w:val="36"/>
          <w:lang w:eastAsia="ru-RU"/>
        </w:rPr>
      </w:pPr>
      <w:bookmarkStart w:id="5" w:name="_Toc431817122"/>
      <w:bookmarkStart w:id="6" w:name="page29"/>
      <w:bookmarkEnd w:id="6"/>
      <w:r w:rsidRPr="0065591C">
        <w:rPr>
          <w:rFonts w:ascii="Times New Roman" w:eastAsiaTheme="majorEastAsia" w:hAnsi="Times New Roman" w:cs="Times New Roman"/>
          <w:b/>
          <w:color w:val="000000" w:themeColor="text1"/>
          <w:sz w:val="36"/>
          <w:szCs w:val="36"/>
          <w:lang w:eastAsia="ru-RU"/>
        </w:rPr>
        <w:t>Материалы и оборудование</w:t>
      </w:r>
      <w:bookmarkEnd w:id="5"/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Материалы, оборудование и инструменты, предоставляемые Экспертами</w:t>
      </w:r>
    </w:p>
    <w:p w:rsidR="0065591C" w:rsidRPr="0065591C" w:rsidRDefault="0065591C" w:rsidP="0065591C">
      <w:pPr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экспертов не требуется предоставлять материалы, оборудование или инструменты. </w:t>
      </w:r>
    </w:p>
    <w:p w:rsidR="0065591C" w:rsidRPr="0065591C" w:rsidRDefault="0065591C" w:rsidP="0065591C">
      <w:pPr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Эксперты должны иметь собственную спецодежду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Материалы, оборудование и инструменты, предоставляемые Участниками</w:t>
      </w:r>
    </w:p>
    <w:p w:rsidR="0065591C" w:rsidRPr="0065591C" w:rsidRDefault="0065591C" w:rsidP="0065591C">
      <w:pPr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 w:line="276" w:lineRule="auto"/>
        <w:ind w:left="993"/>
        <w:jc w:val="both"/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Каждый конкурсант должен иметь </w:t>
      </w:r>
      <w:r w:rsidRPr="0065591C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личную спецодежду: халат, головной убор, перчатки, защитные очки. </w:t>
      </w:r>
      <w:bookmarkStart w:id="7" w:name="_GoBack"/>
      <w:bookmarkEnd w:id="7"/>
    </w:p>
    <w:p w:rsidR="0065591C" w:rsidRPr="0065591C" w:rsidRDefault="0065591C" w:rsidP="0065591C">
      <w:pPr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276" w:lineRule="auto"/>
        <w:ind w:left="99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Участникам не разрешается приносить другие материалы и оборудование, которые не включены в официальный список. Список должен быть согласован с Экспертами до начала соревнований. </w:t>
      </w:r>
    </w:p>
    <w:p w:rsidR="0065591C" w:rsidRPr="0065591C" w:rsidRDefault="0065591C" w:rsidP="0065591C">
      <w:pPr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276" w:lineRule="auto"/>
        <w:ind w:left="99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Жюри будет контролировать все материалы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Материалы и оборудование, запрещенные в местах проведения соревнований 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9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проносу запрещаются такие электронные устройства как мобильные телефоны, плееры, диктофоны и камеры.</w:t>
      </w:r>
    </w:p>
    <w:p w:rsidR="0065591C" w:rsidRPr="0065591C" w:rsidRDefault="0065591C" w:rsidP="0065591C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591C" w:rsidRPr="0065591C" w:rsidRDefault="0065591C" w:rsidP="0065591C">
      <w:pPr>
        <w:spacing w:before="0" w:beforeAutospacing="0" w:after="200" w:afterAutospacing="0" w:line="276" w:lineRule="auto"/>
        <w:rPr>
          <w:rFonts w:eastAsiaTheme="minorEastAsia"/>
          <w:sz w:val="28"/>
          <w:szCs w:val="28"/>
          <w:lang w:eastAsia="ru-RU"/>
        </w:rPr>
      </w:pPr>
      <w:bookmarkStart w:id="8" w:name="page39"/>
      <w:bookmarkEnd w:id="8"/>
      <w:r w:rsidRPr="0065591C">
        <w:rPr>
          <w:rFonts w:eastAsiaTheme="minorEastAsia"/>
          <w:sz w:val="28"/>
          <w:szCs w:val="28"/>
          <w:lang w:eastAsia="ru-RU"/>
        </w:rPr>
        <w:t xml:space="preserve"> </w:t>
      </w:r>
    </w:p>
    <w:p w:rsidR="00A964F4" w:rsidRPr="0065591C" w:rsidRDefault="00A964F4">
      <w:pPr>
        <w:rPr>
          <w:sz w:val="28"/>
          <w:szCs w:val="28"/>
        </w:rPr>
      </w:pPr>
    </w:p>
    <w:sectPr w:rsidR="00A964F4" w:rsidRPr="00655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4FC7"/>
    <w:multiLevelType w:val="hybridMultilevel"/>
    <w:tmpl w:val="79DEC4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12DA1"/>
    <w:multiLevelType w:val="hybridMultilevel"/>
    <w:tmpl w:val="E9B676AA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>
    <w:nsid w:val="14135937"/>
    <w:multiLevelType w:val="hybridMultilevel"/>
    <w:tmpl w:val="CC3EF2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D34C83"/>
    <w:multiLevelType w:val="hybridMultilevel"/>
    <w:tmpl w:val="0D2E2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9F3D4B"/>
    <w:multiLevelType w:val="hybridMultilevel"/>
    <w:tmpl w:val="6F383AA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A924BFD"/>
    <w:multiLevelType w:val="multilevel"/>
    <w:tmpl w:val="9F60A66E"/>
    <w:lvl w:ilvl="0">
      <w:start w:val="3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844" w:hanging="720"/>
      </w:pPr>
    </w:lvl>
    <w:lvl w:ilvl="3">
      <w:start w:val="1"/>
      <w:numFmt w:val="decimal"/>
      <w:isLgl/>
      <w:lvlText w:val="%1.%2.%3.%4."/>
      <w:lvlJc w:val="left"/>
      <w:pPr>
        <w:ind w:left="2193" w:hanging="720"/>
      </w:pPr>
    </w:lvl>
    <w:lvl w:ilvl="4">
      <w:start w:val="1"/>
      <w:numFmt w:val="decimal"/>
      <w:isLgl/>
      <w:lvlText w:val="%1.%2.%3.%4.%5."/>
      <w:lvlJc w:val="left"/>
      <w:pPr>
        <w:ind w:left="2902" w:hanging="1080"/>
      </w:pPr>
    </w:lvl>
    <w:lvl w:ilvl="5">
      <w:start w:val="1"/>
      <w:numFmt w:val="decimal"/>
      <w:isLgl/>
      <w:lvlText w:val="%1.%2.%3.%4.%5.%6."/>
      <w:lvlJc w:val="left"/>
      <w:pPr>
        <w:ind w:left="3251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09" w:hanging="1440"/>
      </w:pPr>
    </w:lvl>
    <w:lvl w:ilvl="8">
      <w:start w:val="1"/>
      <w:numFmt w:val="decimal"/>
      <w:isLgl/>
      <w:lvlText w:val="%1.%2.%3.%4.%5.%6.%7.%8.%9."/>
      <w:lvlJc w:val="left"/>
      <w:pPr>
        <w:ind w:left="5018" w:hanging="1800"/>
      </w:pPr>
    </w:lvl>
  </w:abstractNum>
  <w:num w:numId="1">
    <w:abstractNumId w:val="0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1C"/>
    <w:rsid w:val="0065591C"/>
    <w:rsid w:val="00A9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91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91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1459</Words>
  <Characters>8321</Characters>
  <Application>Microsoft Office Word</Application>
  <DocSecurity>0</DocSecurity>
  <Lines>69</Lines>
  <Paragraphs>19</Paragraphs>
  <ScaleCrop>false</ScaleCrop>
  <Company/>
  <LinksUpToDate>false</LinksUpToDate>
  <CharactersWithSpaces>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2020-03-17T03:29:00Z</dcterms:created>
  <dcterms:modified xsi:type="dcterms:W3CDTF">2020-03-17T03:37:00Z</dcterms:modified>
</cp:coreProperties>
</file>